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7F7" w:rsidRDefault="00C737F7" w:rsidP="00C737F7">
      <w:pPr>
        <w:rPr>
          <w:rFonts w:ascii="Cambria" w:eastAsia="Calibri" w:hAnsi="Cambria" w:cs="Arabic Typesetting"/>
          <w:b/>
          <w:bCs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</w:pPr>
    </w:p>
    <w:p w:rsidR="00C737F7" w:rsidRDefault="00C737F7" w:rsidP="00C737F7">
      <w:pPr>
        <w:rPr>
          <w:rFonts w:ascii="Cambria" w:eastAsia="Calibri" w:hAnsi="Cambria" w:cs="Arabic Typesetting"/>
          <w:b/>
          <w:bCs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</w:pPr>
      <w:r>
        <w:rPr>
          <w:rFonts w:ascii="Cambria" w:eastAsia="Calibri" w:hAnsi="Cambria" w:cs="Arabic Typesetting"/>
          <w:b/>
          <w:bCs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  <w:t xml:space="preserve"> </w:t>
      </w:r>
    </w:p>
    <w:p w:rsidR="00C737F7" w:rsidRPr="00C737F7" w:rsidRDefault="00C737F7" w:rsidP="00C737F7">
      <w:pPr>
        <w:rPr>
          <w:rFonts w:ascii="Cambria" w:eastAsia="Calibri" w:hAnsi="Cambria" w:cs="Arabic Typesetting"/>
          <w:bCs/>
          <w:iCs/>
          <w:spacing w:val="7"/>
          <w:sz w:val="20"/>
          <w:szCs w:val="20"/>
          <w:bdr w:val="none" w:sz="0" w:space="0" w:color="auto" w:frame="1"/>
          <w:shd w:val="clear" w:color="auto" w:fill="FFFFFF"/>
          <w:lang w:val="es-AR"/>
        </w:rPr>
      </w:pPr>
      <w:r>
        <w:rPr>
          <w:rFonts w:ascii="Cambria" w:eastAsia="Calibri" w:hAnsi="Cambria" w:cs="Arabic Typesetting"/>
          <w:bCs/>
          <w:iCs/>
          <w:spacing w:val="7"/>
          <w:sz w:val="20"/>
          <w:szCs w:val="20"/>
          <w:bdr w:val="none" w:sz="0" w:space="0" w:color="auto" w:frame="1"/>
          <w:shd w:val="clear" w:color="auto" w:fill="FFFFFF"/>
          <w:lang w:val="es-AR"/>
        </w:rPr>
        <w:sym w:font="Wingdings" w:char="F0D0"/>
      </w:r>
      <w:r>
        <w:rPr>
          <w:rFonts w:ascii="Cambria" w:eastAsia="Calibri" w:hAnsi="Cambria" w:cs="Arabic Typesetting"/>
          <w:bCs/>
          <w:iCs/>
          <w:spacing w:val="7"/>
          <w:sz w:val="20"/>
          <w:szCs w:val="20"/>
          <w:bdr w:val="none" w:sz="0" w:space="0" w:color="auto" w:frame="1"/>
          <w:shd w:val="clear" w:color="auto" w:fill="FFFFFF"/>
          <w:lang w:val="es-AR"/>
        </w:rPr>
        <w:t xml:space="preserve"> </w:t>
      </w:r>
      <w:r w:rsidRPr="00C737F7">
        <w:rPr>
          <w:rFonts w:ascii="Cambria" w:eastAsia="Calibri" w:hAnsi="Cambria" w:cs="Arabic Typesetting"/>
          <w:bCs/>
          <w:iCs/>
          <w:spacing w:val="7"/>
          <w:sz w:val="20"/>
          <w:szCs w:val="20"/>
          <w:bdr w:val="none" w:sz="0" w:space="0" w:color="auto" w:frame="1"/>
          <w:shd w:val="clear" w:color="auto" w:fill="FFFFFF"/>
          <w:lang w:val="es-AR"/>
        </w:rPr>
        <w:t>Actividad con referentes textuales.</w:t>
      </w:r>
    </w:p>
    <w:p w:rsidR="00C737F7" w:rsidRPr="00C737F7" w:rsidRDefault="00C737F7" w:rsidP="00C737F7">
      <w:pPr>
        <w:rPr>
          <w:rFonts w:ascii="Cambria" w:eastAsia="Calibri" w:hAnsi="Cambria" w:cs="Arabic Typesetting"/>
          <w:b/>
          <w:bCs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</w:pPr>
      <w:r w:rsidRPr="00C737F7">
        <w:rPr>
          <w:rFonts w:ascii="Cambria" w:eastAsia="Calibri" w:hAnsi="Cambria" w:cs="Arabic Typesetting"/>
          <w:b/>
          <w:bCs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  <w:t xml:space="preserve">Practique con los siguientes párrafos colocando el referente de la palabra subrayada. Recuerde preguntarse: </w:t>
      </w:r>
    </w:p>
    <w:p w:rsidR="00C737F7" w:rsidRPr="00C737F7" w:rsidRDefault="00C737F7" w:rsidP="00C737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jc w:val="center"/>
        <w:rPr>
          <w:rFonts w:ascii="Cambria" w:eastAsia="Calibri" w:hAnsi="Cambria" w:cs="Arabic Typesetting"/>
          <w:b/>
          <w:bCs/>
          <w:i/>
          <w:iCs/>
          <w:spacing w:val="7"/>
          <w:sz w:val="28"/>
          <w:szCs w:val="28"/>
          <w:bdr w:val="none" w:sz="0" w:space="0" w:color="auto" w:frame="1"/>
          <w:shd w:val="clear" w:color="auto" w:fill="FFFFFF"/>
          <w:lang w:val="es-AR"/>
        </w:rPr>
      </w:pPr>
      <w:r w:rsidRPr="00C737F7">
        <w:rPr>
          <w:rFonts w:ascii="Cambria" w:eastAsia="Calibri" w:hAnsi="Cambria" w:cs="Arabic Typesetting"/>
          <w:b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  <w:lang w:val="es-AR"/>
        </w:rPr>
        <w:t>¿A qué o a quién se refiere?</w:t>
      </w:r>
    </w:p>
    <w:p w:rsidR="00882903" w:rsidRPr="00882903" w:rsidRDefault="00882903" w:rsidP="00C737F7">
      <w:pPr>
        <w:shd w:val="clear" w:color="auto" w:fill="ED7D31" w:themeFill="accent2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882903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O azulejo no Brasil: tradição, material e design</w:t>
      </w:r>
    </w:p>
    <w:p w:rsidR="00C70455" w:rsidRDefault="00C70455" w:rsidP="00882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  <w:sectPr w:rsidR="00C70455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882903" w:rsidRPr="00C737F7" w:rsidRDefault="00882903" w:rsidP="00882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</w:pPr>
      <w:r w:rsidRPr="00882903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O azulejo é um revestimento cerâmico esmaltado muito presente na história da arquitetura e do design. </w:t>
      </w:r>
      <w:r w:rsidRPr="00C737F7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Embora seja frequentemente associado a Portugal, o </w:t>
      </w:r>
      <w:r w:rsidR="00C737F7" w:rsidRPr="00C737F7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it-IT"/>
        </w:rPr>
        <w:t>seu</w:t>
      </w:r>
      <w:r w:rsidR="00C737F7" w:rsidRPr="00C737F7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</w:t>
      </w:r>
      <w:r w:rsidRPr="00C737F7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uso também se difundiu amplamente no Brasil desde o período colonial. Os primeiros registros da presença de azulejos </w:t>
      </w:r>
      <w:r w:rsidRPr="00C737F7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it-IT"/>
        </w:rPr>
        <w:t xml:space="preserve">no </w:t>
      </w:r>
      <w:r w:rsidR="00C737F7" w:rsidRPr="00C737F7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it-IT"/>
        </w:rPr>
        <w:t>país</w:t>
      </w:r>
      <w:r w:rsidRPr="00C737F7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datam do século XVII, quando peças produzidas </w:t>
      </w:r>
      <w:r w:rsidR="00C737F7" w:rsidRPr="00C737F7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it-IT"/>
        </w:rPr>
        <w:t>lá</w:t>
      </w:r>
      <w:r w:rsidRPr="00C737F7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começaram a chegar para </w:t>
      </w:r>
      <w:r w:rsidR="00C737F7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enfeitar</w:t>
      </w:r>
      <w:r w:rsidRPr="00C737F7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igrejas e edifícios importantes. </w:t>
      </w:r>
    </w:p>
    <w:p w:rsidR="00882903" w:rsidRPr="00C737F7" w:rsidRDefault="00882903" w:rsidP="00882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</w:pPr>
      <w:r w:rsidRPr="00C737F7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Inicialmente, </w:t>
      </w:r>
      <w:r w:rsidR="00C70455" w:rsidRPr="00C70455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it-IT"/>
        </w:rPr>
        <w:t>eles</w:t>
      </w:r>
      <w:r w:rsidRPr="00C737F7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eram utilizados principalmente como elementos decorativos em interiores religiosos. Com o tempo, passaram a revestir também fachadas de casas e prédios urbanos. No Brasil, </w:t>
      </w:r>
      <w:r w:rsidRPr="00C70455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it-IT"/>
        </w:rPr>
        <w:t>essa</w:t>
      </w:r>
      <w:r w:rsidRPr="00C737F7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aplicação externa tornou-</w:t>
      </w:r>
      <w:r w:rsidRPr="003B47A3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it-IT"/>
        </w:rPr>
        <w:t>se</w:t>
      </w:r>
      <w:r w:rsidRPr="00C737F7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muito comum, em parte por causa do clima quente e úmido das cidades litorâneas. O material ajudava a proteger as paredes da umidade e facilitava a conservação das construções. </w:t>
      </w:r>
    </w:p>
    <w:p w:rsidR="00882903" w:rsidRPr="00C737F7" w:rsidRDefault="00882903" w:rsidP="00882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</w:pPr>
      <w:r w:rsidRPr="00C737F7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Além de sua função prática, os azulejos possuem grande valor estético. Muitos </w:t>
      </w:r>
      <w:r w:rsidR="00C70455" w:rsidRPr="00C70455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it-IT"/>
        </w:rPr>
        <w:t>deles</w:t>
      </w:r>
      <w:r w:rsidR="00C70455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</w:t>
      </w:r>
      <w:r w:rsidRPr="00C737F7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apresentam padrões geométricos ou figurativos que se repetem em módulos, criando composições visuais complexas. </w:t>
      </w:r>
      <w:r w:rsidRPr="00C70455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it-IT"/>
        </w:rPr>
        <w:t>Esses</w:t>
      </w:r>
      <w:r w:rsidRPr="00C737F7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padrões podem ser vistos como um sistema de design baseado na repetição e na combinação de unidades, semelhante ao que ocorre em outras áreas do design de superfície.</w:t>
      </w:r>
    </w:p>
    <w:p w:rsidR="00C70455" w:rsidRPr="007A7533" w:rsidRDefault="00882903" w:rsidP="007A75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</w:pPr>
      <w:r w:rsidRPr="00C737F7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Ao longo do tempo, artistas e designers brasileiros passaram a reinterpretar o azulejo tradicional. Em edifícios modernos e espaços públicos, painéis cerâmicos foram utilizados para integrar arte e arquitetura. Assim, o azulejo deixou de ser apenas um elemento histórico e passou a fazer parte de nova</w:t>
      </w:r>
      <w:r w:rsidR="007A7533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s propostas visuais e culturais, </w:t>
      </w:r>
      <w:r w:rsidR="007A7533" w:rsidRPr="007A7533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tornando-se indispensável como elemento decorativo</w:t>
      </w:r>
      <w:r w:rsidR="007A7533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. Ele</w:t>
      </w:r>
      <w:r w:rsidR="007A7533" w:rsidRPr="007A7533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encontr</w:t>
      </w:r>
      <w:r w:rsidR="007A7533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ou</w:t>
      </w:r>
      <w:r w:rsidR="007A7533" w:rsidRPr="007A7533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no Brasil outras razões para </w:t>
      </w:r>
      <w:r w:rsidR="007A7533" w:rsidRPr="007A7533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it-IT"/>
        </w:rPr>
        <w:t>sua</w:t>
      </w:r>
      <w:r w:rsidR="007A7533" w:rsidRPr="007A7533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grande aceitação.</w:t>
      </w:r>
    </w:p>
    <w:p w:rsidR="006D21B3" w:rsidRDefault="006D21B3">
      <w:pPr>
        <w:rPr>
          <w:lang w:val="pt-BR"/>
        </w:rPr>
        <w:sectPr w:rsidR="006D21B3" w:rsidSect="00C70455">
          <w:type w:val="continuous"/>
          <w:pgSz w:w="11906" w:h="16838"/>
          <w:pgMar w:top="1418" w:right="1134" w:bottom="1134" w:left="1134" w:header="709" w:footer="709" w:gutter="0"/>
          <w:lnNumType w:countBy="5" w:restart="newSection"/>
          <w:cols w:space="708"/>
          <w:docGrid w:linePitch="360"/>
        </w:sectPr>
      </w:pPr>
    </w:p>
    <w:p w:rsidR="00F42EA3" w:rsidRPr="007A7533" w:rsidRDefault="003B47A3">
      <w:pPr>
        <w:rPr>
          <w:rFonts w:ascii="Times New Roman" w:hAnsi="Times New Roman" w:cs="Times New Roman"/>
          <w:lang w:val="pt-BR"/>
        </w:rPr>
      </w:pPr>
      <w:proofErr w:type="spellStart"/>
      <w:r w:rsidRPr="007A7533">
        <w:rPr>
          <w:rFonts w:ascii="Times New Roman" w:hAnsi="Times New Roman" w:cs="Times New Roman"/>
          <w:lang w:val="pt-BR"/>
        </w:rPr>
        <w:lastRenderedPageBreak/>
        <w:t>Las</w:t>
      </w:r>
      <w:proofErr w:type="spellEnd"/>
      <w:r w:rsidRPr="007A7533">
        <w:rPr>
          <w:rFonts w:ascii="Times New Roman" w:hAnsi="Times New Roman" w:cs="Times New Roman"/>
          <w:lang w:val="pt-BR"/>
        </w:rPr>
        <w:t xml:space="preserve"> palavras </w:t>
      </w:r>
      <w:proofErr w:type="spellStart"/>
      <w:r w:rsidR="007A7533">
        <w:rPr>
          <w:rFonts w:ascii="Times New Roman" w:hAnsi="Times New Roman" w:cs="Times New Roman"/>
          <w:lang w:val="pt-BR"/>
        </w:rPr>
        <w:t>res</w:t>
      </w:r>
      <w:r w:rsidRPr="007A7533">
        <w:rPr>
          <w:rFonts w:ascii="Times New Roman" w:hAnsi="Times New Roman" w:cs="Times New Roman"/>
          <w:lang w:val="pt-BR"/>
        </w:rPr>
        <w:t>altadas</w:t>
      </w:r>
      <w:proofErr w:type="spellEnd"/>
      <w:r w:rsidRPr="007A7533">
        <w:rPr>
          <w:rFonts w:ascii="Times New Roman" w:hAnsi="Times New Roman" w:cs="Times New Roman"/>
          <w:lang w:val="pt-BR"/>
        </w:rPr>
        <w:t xml:space="preserve"> se </w:t>
      </w:r>
      <w:proofErr w:type="spellStart"/>
      <w:r w:rsidRPr="007A7533">
        <w:rPr>
          <w:rFonts w:ascii="Times New Roman" w:hAnsi="Times New Roman" w:cs="Times New Roman"/>
          <w:lang w:val="pt-BR"/>
        </w:rPr>
        <w:t>refieren</w:t>
      </w:r>
      <w:proofErr w:type="spellEnd"/>
      <w:r w:rsidRPr="007A7533">
        <w:rPr>
          <w:rFonts w:ascii="Times New Roman" w:hAnsi="Times New Roman" w:cs="Times New Roman"/>
          <w:lang w:val="pt-BR"/>
        </w:rPr>
        <w:t xml:space="preserve"> a</w:t>
      </w:r>
    </w:p>
    <w:p w:rsidR="003B47A3" w:rsidRDefault="003B47A3">
      <w:pP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...</w:t>
      </w:r>
      <w:r w:rsidRPr="00C737F7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o </w:t>
      </w:r>
      <w:r w:rsidRPr="00C737F7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it-IT"/>
        </w:rPr>
        <w:t>seu</w:t>
      </w:r>
      <w:r w:rsidRPr="00C737F7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uso</w:t>
      </w: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... (línea 2):</w:t>
      </w:r>
    </w:p>
    <w:p w:rsidR="003B47A3" w:rsidRDefault="003B47A3">
      <w:pP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...</w:t>
      </w:r>
      <w:r w:rsidRPr="003B47A3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</w:t>
      </w:r>
      <w:r w:rsidRPr="00C737F7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presença de azulejos </w:t>
      </w:r>
      <w:r w:rsidRPr="00C737F7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it-IT"/>
        </w:rPr>
        <w:t>no país</w:t>
      </w:r>
      <w:proofErr w:type="gramStart"/>
      <w:r w:rsidRPr="003B47A3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...</w:t>
      </w: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línea 4)</w:t>
      </w:r>
    </w:p>
    <w:p w:rsidR="003B47A3" w:rsidRDefault="003B47A3">
      <w:pP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... </w:t>
      </w:r>
      <w:r w:rsidRPr="00C70455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it-IT"/>
        </w:rPr>
        <w:t>eles</w:t>
      </w:r>
      <w:r w:rsidRPr="00C737F7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eram utilizados</w:t>
      </w: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línea 6</w:t>
      </w: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):</w:t>
      </w: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</w:t>
      </w:r>
    </w:p>
    <w:p w:rsidR="003B47A3" w:rsidRDefault="003B47A3">
      <w:pP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...</w:t>
      </w:r>
      <w:r w:rsidRPr="003B47A3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it-IT"/>
        </w:rPr>
        <w:t xml:space="preserve"> </w:t>
      </w:r>
      <w:r w:rsidRPr="00C70455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it-IT"/>
        </w:rPr>
        <w:t>essa</w:t>
      </w:r>
      <w:r w:rsidRPr="00C737F7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aplicação externa </w:t>
      </w: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(línea </w:t>
      </w: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):</w:t>
      </w:r>
    </w:p>
    <w:p w:rsidR="003B47A3" w:rsidRDefault="003B47A3">
      <w:pP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...</w:t>
      </w:r>
      <w:r w:rsidRPr="003B47A3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</w:t>
      </w:r>
      <w:r w:rsidRPr="00C737F7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tornou-</w:t>
      </w:r>
      <w:r w:rsidRPr="003B47A3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it-IT"/>
        </w:rPr>
        <w:t>se</w:t>
      </w:r>
      <w:r w:rsidRPr="00C737F7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(línea </w:t>
      </w: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):</w:t>
      </w:r>
    </w:p>
    <w:p w:rsidR="003B47A3" w:rsidRDefault="003B47A3">
      <w:pP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...</w:t>
      </w:r>
      <w:r w:rsidRPr="003B47A3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</w:t>
      </w:r>
      <w:r w:rsidRPr="00C737F7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Muitos </w:t>
      </w:r>
      <w:r w:rsidRPr="00C70455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it-IT"/>
        </w:rPr>
        <w:t>deles</w:t>
      </w: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(línea </w:t>
      </w: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):</w:t>
      </w:r>
    </w:p>
    <w:p w:rsidR="003B47A3" w:rsidRDefault="003B47A3" w:rsidP="003B47A3">
      <w:pP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...</w:t>
      </w:r>
      <w:r w:rsidRPr="003B47A3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it-IT"/>
        </w:rPr>
        <w:t xml:space="preserve"> </w:t>
      </w:r>
      <w:r w:rsidRPr="00C70455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it-IT"/>
        </w:rPr>
        <w:t>Esses</w:t>
      </w:r>
      <w:r w:rsidRPr="00C737F7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padrões</w:t>
      </w: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(línea </w:t>
      </w: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):</w:t>
      </w:r>
    </w:p>
    <w:p w:rsidR="007A7533" w:rsidRDefault="007A7533" w:rsidP="003B47A3">
      <w:pP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... </w:t>
      </w:r>
      <w:r w:rsidRPr="007A7533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it-IT"/>
        </w:rPr>
        <w:t>sua</w:t>
      </w:r>
      <w:r w:rsidRPr="007A7533"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grande aceitação</w:t>
      </w: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(línea 1</w:t>
      </w: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  <w:t>):</w:t>
      </w:r>
    </w:p>
    <w:p w:rsidR="00C77845" w:rsidRDefault="00C77845" w:rsidP="003B47A3">
      <w:pP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</w:pPr>
    </w:p>
    <w:p w:rsidR="00C77845" w:rsidRPr="004750C6" w:rsidRDefault="00C77845" w:rsidP="00C77845">
      <w:pPr>
        <w:pStyle w:val="Default"/>
        <w:rPr>
          <w:rFonts w:ascii="Times New Roman" w:hAnsi="Times New Roman" w:cs="Times New Roman"/>
          <w:lang w:val="pt-BR"/>
        </w:rPr>
      </w:pPr>
      <w:bookmarkStart w:id="0" w:name="_GoBack"/>
      <w:r w:rsidRPr="004750C6">
        <w:rPr>
          <w:rFonts w:ascii="Times New Roman" w:hAnsi="Times New Roman" w:cs="Times New Roman"/>
          <w:lang w:val="pt-BR"/>
        </w:rPr>
        <w:lastRenderedPageBreak/>
        <w:t>b</w:t>
      </w:r>
      <w:r w:rsidRPr="004750C6">
        <w:rPr>
          <w:rFonts w:ascii="Times New Roman" w:hAnsi="Times New Roman" w:cs="Times New Roman"/>
          <w:lang w:val="pt-BR"/>
        </w:rPr>
        <w:t>) O valor artístico é um valor perene, enorme, inestimável. É um valor sem preço e sem desgaste. Pelo contrário, aumenta com os anos à proporção que os homens se educam para reconhecê-</w:t>
      </w:r>
      <w:r w:rsidRPr="004750C6">
        <w:rPr>
          <w:rFonts w:ascii="Times New Roman" w:hAnsi="Times New Roman" w:cs="Times New Roman"/>
          <w:u w:val="single"/>
          <w:lang w:val="pt-BR"/>
        </w:rPr>
        <w:t>lo</w:t>
      </w:r>
      <w:r w:rsidRPr="004750C6">
        <w:rPr>
          <w:rFonts w:ascii="Times New Roman" w:hAnsi="Times New Roman" w:cs="Times New Roman"/>
          <w:lang w:val="pt-BR"/>
        </w:rPr>
        <w:t>. O valor artístico subsiste até nas ruínas. Os anos correm e desgastam o material, enquanto valorizam o espiritual.</w:t>
      </w:r>
    </w:p>
    <w:p w:rsidR="00C77845" w:rsidRPr="004750C6" w:rsidRDefault="00C77845" w:rsidP="00C77845">
      <w:pPr>
        <w:pStyle w:val="Default"/>
        <w:rPr>
          <w:rFonts w:ascii="Times New Roman" w:hAnsi="Times New Roman" w:cs="Times New Roman"/>
          <w:lang w:val="pt-BR"/>
        </w:rPr>
      </w:pPr>
    </w:p>
    <w:p w:rsidR="00C77845" w:rsidRPr="004750C6" w:rsidRDefault="00C77845" w:rsidP="00C77845">
      <w:pPr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</w:pPr>
    </w:p>
    <w:p w:rsidR="00C77845" w:rsidRPr="004750C6" w:rsidRDefault="00C77845" w:rsidP="00C77845">
      <w:pPr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4750C6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  <w:t>Referentes:</w:t>
      </w:r>
    </w:p>
    <w:p w:rsidR="00C77845" w:rsidRPr="004750C6" w:rsidRDefault="00C77845" w:rsidP="003B47A3">
      <w:pP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</w:pPr>
    </w:p>
    <w:p w:rsidR="00C77845" w:rsidRPr="004750C6" w:rsidRDefault="00C77845" w:rsidP="003B47A3">
      <w:pP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</w:pPr>
    </w:p>
    <w:p w:rsidR="00C77845" w:rsidRPr="004750C6" w:rsidRDefault="00C77845" w:rsidP="00C77845">
      <w:pP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4750C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c</w:t>
      </w:r>
      <w:r w:rsidRPr="004750C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) Elegendo a racionalização como diretriz de projeto, Artigas não exclui a tradição, mas </w:t>
      </w:r>
      <w:r w:rsidRPr="004750C6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</w:rPr>
        <w:t xml:space="preserve">a </w:t>
      </w:r>
      <w:r w:rsidRPr="004750C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reinterpreta através de seus próprios meios.</w:t>
      </w:r>
    </w:p>
    <w:p w:rsidR="00C77845" w:rsidRPr="004750C6" w:rsidRDefault="00C77845" w:rsidP="00C77845">
      <w:pPr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4750C6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  <w:t>Referente:</w:t>
      </w:r>
    </w:p>
    <w:p w:rsidR="00C77845" w:rsidRPr="004750C6" w:rsidRDefault="00C77845" w:rsidP="00C77845">
      <w:pPr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</w:pPr>
    </w:p>
    <w:p w:rsidR="00C77845" w:rsidRPr="004750C6" w:rsidRDefault="00C77845" w:rsidP="00C77845">
      <w:pPr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</w:pPr>
    </w:p>
    <w:p w:rsidR="00C77845" w:rsidRPr="004750C6" w:rsidRDefault="00C77845" w:rsidP="00C77845">
      <w:pPr>
        <w:rPr>
          <w:rFonts w:ascii="Times New Roman" w:hAnsi="Times New Roman" w:cs="Times New Roman"/>
          <w:sz w:val="24"/>
          <w:szCs w:val="24"/>
        </w:rPr>
      </w:pPr>
      <w:r w:rsidRPr="004750C6">
        <w:rPr>
          <w:rFonts w:ascii="Times New Roman" w:hAnsi="Times New Roman" w:cs="Times New Roman"/>
          <w:sz w:val="24"/>
          <w:szCs w:val="24"/>
        </w:rPr>
        <w:t>d</w:t>
      </w:r>
      <w:r w:rsidRPr="004750C6">
        <w:rPr>
          <w:rFonts w:ascii="Times New Roman" w:hAnsi="Times New Roman" w:cs="Times New Roman"/>
          <w:sz w:val="24"/>
          <w:szCs w:val="24"/>
        </w:rPr>
        <w:t xml:space="preserve">) Em caso de divergências entre desenhos de escalas diferentes prevalecerão sempre </w:t>
      </w:r>
      <w:r w:rsidRPr="004750C6">
        <w:rPr>
          <w:rFonts w:ascii="Times New Roman" w:hAnsi="Times New Roman" w:cs="Times New Roman"/>
          <w:sz w:val="24"/>
          <w:szCs w:val="24"/>
          <w:u w:val="single"/>
        </w:rPr>
        <w:t xml:space="preserve">os </w:t>
      </w:r>
      <w:r w:rsidRPr="004750C6">
        <w:rPr>
          <w:rFonts w:ascii="Times New Roman" w:hAnsi="Times New Roman" w:cs="Times New Roman"/>
          <w:sz w:val="24"/>
          <w:szCs w:val="24"/>
        </w:rPr>
        <w:t>de menor escala.</w:t>
      </w:r>
    </w:p>
    <w:p w:rsidR="00C77845" w:rsidRPr="004750C6" w:rsidRDefault="00C77845" w:rsidP="00C77845">
      <w:pPr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4750C6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  <w:t>Referente:</w:t>
      </w:r>
    </w:p>
    <w:bookmarkEnd w:id="0"/>
    <w:p w:rsidR="00C77845" w:rsidRDefault="00C77845" w:rsidP="003B47A3">
      <w:pP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</w:pPr>
    </w:p>
    <w:p w:rsidR="003B47A3" w:rsidRDefault="003B47A3">
      <w:pPr>
        <w:rPr>
          <w:rFonts w:ascii="Times New Roman" w:eastAsia="Times New Roman" w:hAnsi="Times New Roman" w:cs="Times New Roman"/>
          <w:sz w:val="24"/>
          <w:szCs w:val="24"/>
          <w:lang w:val="pt-BR" w:eastAsia="it-IT"/>
        </w:rPr>
      </w:pPr>
    </w:p>
    <w:p w:rsidR="003B47A3" w:rsidRPr="00C737F7" w:rsidRDefault="003B47A3">
      <w:pPr>
        <w:rPr>
          <w:lang w:val="pt-BR"/>
        </w:rPr>
      </w:pPr>
    </w:p>
    <w:sectPr w:rsidR="003B47A3" w:rsidRPr="00C737F7" w:rsidSect="00C70455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903"/>
    <w:rsid w:val="000E0E43"/>
    <w:rsid w:val="003B47A3"/>
    <w:rsid w:val="004750C6"/>
    <w:rsid w:val="006D21B3"/>
    <w:rsid w:val="007A7533"/>
    <w:rsid w:val="00882903"/>
    <w:rsid w:val="00C70455"/>
    <w:rsid w:val="00C737F7"/>
    <w:rsid w:val="00C77845"/>
    <w:rsid w:val="00F4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A636468-4933-4F54-92FA-FA8E7BCFB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lnea">
    <w:name w:val="line number"/>
    <w:basedOn w:val="Fuentedeprrafopredeter"/>
    <w:uiPriority w:val="99"/>
    <w:semiHidden/>
    <w:unhideWhenUsed/>
    <w:rsid w:val="00C70455"/>
  </w:style>
  <w:style w:type="paragraph" w:customStyle="1" w:styleId="Default">
    <w:name w:val="Default"/>
    <w:rsid w:val="00C7784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48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2322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Murgia</dc:creator>
  <cp:keywords/>
  <dc:description/>
  <cp:lastModifiedBy>Soledad</cp:lastModifiedBy>
  <cp:revision>3</cp:revision>
  <dcterms:created xsi:type="dcterms:W3CDTF">2026-04-22T12:16:00Z</dcterms:created>
  <dcterms:modified xsi:type="dcterms:W3CDTF">2026-04-22T12:17:00Z</dcterms:modified>
</cp:coreProperties>
</file>